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CEE45" w14:textId="3B66EBA2" w:rsidR="00721B5A" w:rsidRDefault="001F4939">
      <w:pPr>
        <w:pStyle w:val="Heading1"/>
        <w:rPr>
          <w:rFonts w:ascii="Verdana" w:hAnsi="Verdana"/>
          <w:sz w:val="20"/>
          <w:szCs w:val="28"/>
        </w:rPr>
      </w:pPr>
      <w:r>
        <w:rPr>
          <w:rFonts w:ascii="Verdana" w:hAnsi="Verdana"/>
          <w:sz w:val="20"/>
          <w:szCs w:val="28"/>
        </w:rPr>
        <w:t>SOP</w:t>
      </w:r>
      <w:r w:rsidR="00C318D5">
        <w:rPr>
          <w:rFonts w:ascii="Verdana" w:hAnsi="Verdana"/>
          <w:sz w:val="20"/>
          <w:szCs w:val="28"/>
        </w:rPr>
        <w:t xml:space="preserve">: </w:t>
      </w:r>
      <w:r w:rsidR="00770988">
        <w:rPr>
          <w:rFonts w:ascii="Verdana" w:hAnsi="Verdana"/>
          <w:sz w:val="20"/>
          <w:szCs w:val="28"/>
        </w:rPr>
        <w:t xml:space="preserve">General </w:t>
      </w:r>
      <w:r w:rsidR="00771AA1">
        <w:rPr>
          <w:rFonts w:ascii="Verdana" w:hAnsi="Verdana"/>
          <w:sz w:val="20"/>
          <w:szCs w:val="28"/>
        </w:rPr>
        <w:t xml:space="preserve">Support </w:t>
      </w:r>
      <w:r w:rsidR="00770988">
        <w:rPr>
          <w:rFonts w:ascii="Verdana" w:hAnsi="Verdana"/>
          <w:sz w:val="20"/>
          <w:szCs w:val="28"/>
        </w:rPr>
        <w:t xml:space="preserve">Ticket </w:t>
      </w:r>
      <w:r w:rsidR="00A85570">
        <w:rPr>
          <w:rFonts w:ascii="Verdana" w:hAnsi="Verdana"/>
          <w:sz w:val="20"/>
          <w:szCs w:val="28"/>
        </w:rPr>
        <w:t xml:space="preserve">and Escalation </w:t>
      </w:r>
      <w:r w:rsidR="00770988">
        <w:rPr>
          <w:rFonts w:ascii="Verdana" w:hAnsi="Verdana"/>
          <w:sz w:val="20"/>
          <w:szCs w:val="28"/>
        </w:rPr>
        <w:t>Process</w:t>
      </w:r>
      <w:r w:rsidR="00C318D5">
        <w:rPr>
          <w:rFonts w:ascii="Verdana" w:hAnsi="Verdana"/>
          <w:sz w:val="20"/>
          <w:szCs w:val="28"/>
        </w:rPr>
        <w:t xml:space="preserve"> </w:t>
      </w:r>
    </w:p>
    <w:p w14:paraId="10FDD12B" w14:textId="77777777" w:rsidR="00721B5A" w:rsidRDefault="00721B5A">
      <w:pPr>
        <w:rPr>
          <w:rFonts w:ascii="Verdana" w:hAnsi="Verdana"/>
          <w:sz w:val="20"/>
        </w:rPr>
      </w:pPr>
    </w:p>
    <w:p w14:paraId="744E1B16" w14:textId="77777777" w:rsidR="00721B5A" w:rsidRDefault="00721B5A">
      <w:pPr>
        <w:pStyle w:val="Heading2"/>
        <w:rPr>
          <w:rFonts w:ascii="Verdana" w:hAnsi="Verdana"/>
          <w:sz w:val="20"/>
        </w:rPr>
      </w:pPr>
      <w:r>
        <w:rPr>
          <w:rFonts w:ascii="Verdana" w:hAnsi="Verdana"/>
          <w:sz w:val="20"/>
        </w:rPr>
        <w:t>1.</w:t>
      </w:r>
      <w:r>
        <w:rPr>
          <w:rFonts w:ascii="Verdana" w:hAnsi="Verdana"/>
          <w:sz w:val="20"/>
        </w:rPr>
        <w:tab/>
        <w:t>Purpose</w:t>
      </w:r>
    </w:p>
    <w:p w14:paraId="73720B3B" w14:textId="7C186454" w:rsidR="00721B5A" w:rsidRDefault="00BE21FB">
      <w:pPr>
        <w:rPr>
          <w:rFonts w:ascii="Verdana" w:hAnsi="Verdana"/>
          <w:sz w:val="20"/>
        </w:rPr>
      </w:pPr>
      <w:r>
        <w:rPr>
          <w:rFonts w:ascii="Verdana" w:hAnsi="Verdana"/>
          <w:sz w:val="20"/>
        </w:rPr>
        <w:t xml:space="preserve">The purpose of this SOP is to provide </w:t>
      </w:r>
      <w:r w:rsidR="00A35CAE">
        <w:rPr>
          <w:rFonts w:ascii="Verdana" w:hAnsi="Verdana"/>
          <w:sz w:val="20"/>
        </w:rPr>
        <w:t>the process for call and ticket handling for</w:t>
      </w:r>
      <w:r>
        <w:rPr>
          <w:rFonts w:ascii="Verdana" w:hAnsi="Verdana"/>
          <w:sz w:val="20"/>
        </w:rPr>
        <w:t xml:space="preserve"> the Government Brands Client Support team.</w:t>
      </w:r>
    </w:p>
    <w:p w14:paraId="0E5D1142" w14:textId="77777777" w:rsidR="00BE21FB" w:rsidRDefault="00BE21FB">
      <w:pPr>
        <w:rPr>
          <w:rFonts w:ascii="Verdana" w:hAnsi="Verdana"/>
          <w:sz w:val="20"/>
        </w:rPr>
      </w:pPr>
    </w:p>
    <w:p w14:paraId="7925DA87" w14:textId="77777777" w:rsidR="00721B5A" w:rsidRDefault="00721B5A">
      <w:pPr>
        <w:pStyle w:val="Heading2"/>
        <w:rPr>
          <w:rFonts w:ascii="Verdana" w:hAnsi="Verdana"/>
          <w:sz w:val="20"/>
        </w:rPr>
      </w:pPr>
      <w:r>
        <w:rPr>
          <w:rFonts w:ascii="Verdana" w:hAnsi="Verdana"/>
          <w:sz w:val="20"/>
        </w:rPr>
        <w:t>2.</w:t>
      </w:r>
      <w:r>
        <w:rPr>
          <w:rFonts w:ascii="Verdana" w:hAnsi="Verdana"/>
          <w:sz w:val="20"/>
        </w:rPr>
        <w:tab/>
        <w:t>Scope</w:t>
      </w:r>
    </w:p>
    <w:p w14:paraId="1CEDCC1E" w14:textId="236BC73A" w:rsidR="00721B5A" w:rsidRDefault="00BE21FB">
      <w:pPr>
        <w:rPr>
          <w:rFonts w:ascii="Verdana" w:hAnsi="Verdana"/>
          <w:sz w:val="20"/>
        </w:rPr>
      </w:pPr>
      <w:r>
        <w:rPr>
          <w:rFonts w:ascii="Verdana" w:hAnsi="Verdana"/>
          <w:sz w:val="20"/>
        </w:rPr>
        <w:t>This SOP applies to all Client Technical Support agents for Government Brands, LLC.</w:t>
      </w:r>
    </w:p>
    <w:p w14:paraId="78C6C306" w14:textId="77777777" w:rsidR="00BE21FB" w:rsidRDefault="00BE21FB">
      <w:pPr>
        <w:rPr>
          <w:rFonts w:ascii="Verdana" w:hAnsi="Verdana"/>
          <w:sz w:val="20"/>
        </w:rPr>
      </w:pPr>
    </w:p>
    <w:p w14:paraId="69BC5916" w14:textId="77777777" w:rsidR="00721B5A" w:rsidRDefault="00721B5A">
      <w:pPr>
        <w:pStyle w:val="Heading2"/>
        <w:rPr>
          <w:rFonts w:ascii="Verdana" w:hAnsi="Verdana"/>
          <w:sz w:val="20"/>
        </w:rPr>
      </w:pPr>
      <w:r>
        <w:rPr>
          <w:rFonts w:ascii="Verdana" w:hAnsi="Verdana"/>
          <w:sz w:val="20"/>
        </w:rPr>
        <w:t>3.</w:t>
      </w:r>
      <w:r>
        <w:rPr>
          <w:rFonts w:ascii="Verdana" w:hAnsi="Verdana"/>
          <w:sz w:val="20"/>
        </w:rPr>
        <w:tab/>
        <w:t>Prerequisites</w:t>
      </w:r>
    </w:p>
    <w:p w14:paraId="53801C9D" w14:textId="7C34BDE7" w:rsidR="007A2729" w:rsidRDefault="00BE21FB">
      <w:pPr>
        <w:rPr>
          <w:rFonts w:ascii="Verdana" w:hAnsi="Verdana"/>
          <w:sz w:val="20"/>
        </w:rPr>
      </w:pPr>
      <w:r>
        <w:rPr>
          <w:rFonts w:ascii="Verdana" w:hAnsi="Verdana"/>
          <w:sz w:val="20"/>
        </w:rPr>
        <w:t>N/A</w:t>
      </w:r>
    </w:p>
    <w:p w14:paraId="0E664985" w14:textId="77777777" w:rsidR="00BE21FB" w:rsidRDefault="00BE21FB">
      <w:pPr>
        <w:rPr>
          <w:rFonts w:ascii="Verdana" w:hAnsi="Verdana"/>
          <w:sz w:val="20"/>
        </w:rPr>
      </w:pPr>
    </w:p>
    <w:p w14:paraId="74D69078" w14:textId="77777777" w:rsidR="00721B5A" w:rsidRDefault="00721B5A">
      <w:pPr>
        <w:pStyle w:val="Heading2"/>
        <w:rPr>
          <w:rFonts w:ascii="Verdana" w:hAnsi="Verdana"/>
          <w:sz w:val="20"/>
        </w:rPr>
      </w:pPr>
      <w:r>
        <w:rPr>
          <w:rFonts w:ascii="Verdana" w:hAnsi="Verdana"/>
          <w:sz w:val="20"/>
        </w:rPr>
        <w:t>4.</w:t>
      </w:r>
      <w:r>
        <w:rPr>
          <w:rFonts w:ascii="Verdana" w:hAnsi="Verdana"/>
          <w:sz w:val="20"/>
        </w:rPr>
        <w:tab/>
        <w:t>Responsibilities</w:t>
      </w:r>
    </w:p>
    <w:p w14:paraId="209E63A7" w14:textId="3B6BFAC3" w:rsidR="007A2729" w:rsidRDefault="00BE21FB">
      <w:pPr>
        <w:rPr>
          <w:rFonts w:ascii="Verdana" w:hAnsi="Verdana"/>
          <w:sz w:val="20"/>
        </w:rPr>
      </w:pPr>
      <w:r>
        <w:rPr>
          <w:rFonts w:ascii="Verdana" w:hAnsi="Verdana"/>
          <w:sz w:val="20"/>
        </w:rPr>
        <w:t>The Client Support Manager is responsible for the application and dissemination of this process.</w:t>
      </w:r>
    </w:p>
    <w:p w14:paraId="5493399A" w14:textId="77777777" w:rsidR="00BE21FB" w:rsidRDefault="00BE21FB">
      <w:pPr>
        <w:rPr>
          <w:rFonts w:ascii="Verdana" w:hAnsi="Verdana"/>
          <w:sz w:val="20"/>
        </w:rPr>
      </w:pPr>
    </w:p>
    <w:p w14:paraId="7761C572" w14:textId="2E2D9738" w:rsidR="00721B5A" w:rsidRDefault="00721B5A">
      <w:pPr>
        <w:pStyle w:val="Heading2"/>
        <w:rPr>
          <w:rFonts w:ascii="Verdana" w:hAnsi="Verdana"/>
          <w:sz w:val="20"/>
        </w:rPr>
      </w:pPr>
      <w:r>
        <w:rPr>
          <w:rFonts w:ascii="Verdana" w:hAnsi="Verdana"/>
          <w:sz w:val="20"/>
        </w:rPr>
        <w:t>5.</w:t>
      </w:r>
      <w:r>
        <w:rPr>
          <w:rFonts w:ascii="Verdana" w:hAnsi="Verdana"/>
          <w:sz w:val="20"/>
        </w:rPr>
        <w:tab/>
      </w:r>
      <w:r w:rsidR="00D130EC">
        <w:rPr>
          <w:rFonts w:ascii="Verdana" w:hAnsi="Verdana"/>
          <w:sz w:val="20"/>
        </w:rPr>
        <w:t>Procedure</w:t>
      </w:r>
    </w:p>
    <w:p w14:paraId="5C886A19" w14:textId="686129E0" w:rsidR="0052279C" w:rsidRPr="0052279C" w:rsidRDefault="0014047E" w:rsidP="0052279C">
      <w:pPr>
        <w:rPr>
          <w:rFonts w:ascii="Verdana" w:hAnsi="Verdana"/>
          <w:b/>
          <w:bCs/>
          <w:sz w:val="20"/>
        </w:rPr>
      </w:pPr>
      <w:r w:rsidRPr="0052279C">
        <w:rPr>
          <w:rFonts w:ascii="Verdana" w:hAnsi="Verdana"/>
          <w:b/>
          <w:bCs/>
          <w:sz w:val="20"/>
        </w:rPr>
        <w:tab/>
      </w:r>
      <w:r w:rsidR="00AB6DC4">
        <w:rPr>
          <w:rFonts w:ascii="Verdana" w:hAnsi="Verdana"/>
          <w:b/>
          <w:bCs/>
          <w:sz w:val="20"/>
        </w:rPr>
        <w:t xml:space="preserve">5.1 </w:t>
      </w:r>
      <w:r w:rsidR="0052279C" w:rsidRPr="0052279C">
        <w:rPr>
          <w:rFonts w:ascii="Verdana" w:hAnsi="Verdana"/>
          <w:b/>
          <w:bCs/>
          <w:sz w:val="20"/>
        </w:rPr>
        <w:t>Tier 1</w:t>
      </w:r>
    </w:p>
    <w:p w14:paraId="5BC56EA7" w14:textId="0453A217" w:rsidR="0052279C" w:rsidRDefault="0052279C" w:rsidP="00093138">
      <w:pPr>
        <w:ind w:left="720"/>
        <w:rPr>
          <w:rFonts w:ascii="Verdana" w:hAnsi="Verdana"/>
          <w:sz w:val="20"/>
        </w:rPr>
      </w:pPr>
    </w:p>
    <w:p w14:paraId="588FD741" w14:textId="4541E2ED" w:rsidR="0052279C" w:rsidRDefault="0052279C" w:rsidP="006C2A7A">
      <w:pPr>
        <w:ind w:left="1440"/>
        <w:rPr>
          <w:rFonts w:ascii="Verdana" w:hAnsi="Verdana"/>
          <w:sz w:val="20"/>
        </w:rPr>
      </w:pPr>
      <w:r>
        <w:rPr>
          <w:rFonts w:ascii="Verdana" w:hAnsi="Verdana"/>
          <w:sz w:val="20"/>
        </w:rPr>
        <w:t>5.1</w:t>
      </w:r>
      <w:r w:rsidR="00AB6DC4">
        <w:rPr>
          <w:rFonts w:ascii="Verdana" w:hAnsi="Verdana"/>
          <w:sz w:val="20"/>
        </w:rPr>
        <w:t>.1</w:t>
      </w:r>
      <w:r>
        <w:rPr>
          <w:rFonts w:ascii="Verdana" w:hAnsi="Verdana"/>
          <w:sz w:val="20"/>
        </w:rPr>
        <w:t xml:space="preserve"> Call or ticket is received via telephone or </w:t>
      </w:r>
      <w:r w:rsidR="003C1123">
        <w:rPr>
          <w:rFonts w:ascii="Verdana" w:hAnsi="Verdana"/>
          <w:sz w:val="20"/>
        </w:rPr>
        <w:t>ticket is entered into the Tier 1 ticket queue.</w:t>
      </w:r>
    </w:p>
    <w:p w14:paraId="74D0AB96" w14:textId="77777777" w:rsidR="0052279C" w:rsidRDefault="0052279C" w:rsidP="00BF0BD4">
      <w:pPr>
        <w:ind w:left="720"/>
        <w:rPr>
          <w:rFonts w:ascii="Verdana" w:hAnsi="Verdana"/>
          <w:sz w:val="20"/>
        </w:rPr>
      </w:pPr>
    </w:p>
    <w:p w14:paraId="7DA46908" w14:textId="6E66CFC7" w:rsidR="00A750C8" w:rsidRDefault="0014047E" w:rsidP="00BF0BD4">
      <w:pPr>
        <w:ind w:left="1440"/>
        <w:rPr>
          <w:rFonts w:ascii="Verdana" w:hAnsi="Verdana"/>
          <w:sz w:val="20"/>
        </w:rPr>
      </w:pPr>
      <w:r>
        <w:rPr>
          <w:rFonts w:ascii="Verdana" w:hAnsi="Verdana"/>
          <w:sz w:val="20"/>
        </w:rPr>
        <w:t>5.</w:t>
      </w:r>
      <w:r w:rsidR="00AB6DC4">
        <w:rPr>
          <w:rFonts w:ascii="Verdana" w:hAnsi="Verdana"/>
          <w:sz w:val="20"/>
        </w:rPr>
        <w:t>1.</w:t>
      </w:r>
      <w:r>
        <w:rPr>
          <w:rFonts w:ascii="Verdana" w:hAnsi="Verdana"/>
          <w:sz w:val="20"/>
        </w:rPr>
        <w:t xml:space="preserve">2 </w:t>
      </w:r>
      <w:r w:rsidR="00094CFF">
        <w:rPr>
          <w:rFonts w:ascii="Verdana" w:hAnsi="Verdana"/>
          <w:sz w:val="20"/>
        </w:rPr>
        <w:t>For calls via telephone</w:t>
      </w:r>
      <w:r w:rsidR="00093138">
        <w:rPr>
          <w:rFonts w:ascii="Verdana" w:hAnsi="Verdana"/>
          <w:sz w:val="20"/>
        </w:rPr>
        <w:t xml:space="preserve"> (ACD system)</w:t>
      </w:r>
      <w:r w:rsidR="00094CFF">
        <w:rPr>
          <w:rFonts w:ascii="Verdana" w:hAnsi="Verdana"/>
          <w:sz w:val="20"/>
        </w:rPr>
        <w:t xml:space="preserve">, Client Support agents </w:t>
      </w:r>
      <w:r w:rsidR="00093138">
        <w:rPr>
          <w:rFonts w:ascii="Verdana" w:hAnsi="Verdana"/>
          <w:sz w:val="20"/>
        </w:rPr>
        <w:t>will enter a ticket into the ticketing system</w:t>
      </w:r>
      <w:r w:rsidR="00557025">
        <w:rPr>
          <w:rFonts w:ascii="Verdana" w:hAnsi="Verdana"/>
          <w:sz w:val="20"/>
        </w:rPr>
        <w:t xml:space="preserve"> and enter the </w:t>
      </w:r>
      <w:r w:rsidR="00E5116B">
        <w:rPr>
          <w:rFonts w:ascii="Verdana" w:hAnsi="Verdana"/>
          <w:sz w:val="20"/>
        </w:rPr>
        <w:t>caller’s</w:t>
      </w:r>
      <w:r w:rsidR="00557025">
        <w:rPr>
          <w:rFonts w:ascii="Verdana" w:hAnsi="Verdana"/>
          <w:sz w:val="20"/>
        </w:rPr>
        <w:t xml:space="preserve"> email as the “</w:t>
      </w:r>
      <w:r w:rsidR="00895244">
        <w:rPr>
          <w:rFonts w:ascii="Verdana" w:hAnsi="Verdana"/>
          <w:sz w:val="20"/>
        </w:rPr>
        <w:t>Reporter” to ensure communication with the client after the issue is resolved and as documentation of the client contact</w:t>
      </w:r>
      <w:r w:rsidR="0052279C">
        <w:rPr>
          <w:rFonts w:ascii="Verdana" w:hAnsi="Verdana"/>
          <w:sz w:val="20"/>
        </w:rPr>
        <w:t>.</w:t>
      </w:r>
    </w:p>
    <w:p w14:paraId="793DFF7F" w14:textId="5A7FB53A" w:rsidR="008935FA" w:rsidRDefault="008935FA" w:rsidP="00BF0BD4">
      <w:pPr>
        <w:ind w:left="1440"/>
        <w:rPr>
          <w:rFonts w:ascii="Verdana" w:hAnsi="Verdana"/>
          <w:sz w:val="20"/>
        </w:rPr>
      </w:pPr>
    </w:p>
    <w:p w14:paraId="70586947" w14:textId="50DA9282" w:rsidR="008935FA" w:rsidRDefault="008935FA" w:rsidP="00BF0BD4">
      <w:pPr>
        <w:ind w:left="1440"/>
        <w:rPr>
          <w:rFonts w:ascii="Verdana" w:hAnsi="Verdana"/>
          <w:sz w:val="20"/>
        </w:rPr>
      </w:pPr>
      <w:r>
        <w:rPr>
          <w:rFonts w:ascii="Verdana" w:hAnsi="Verdana"/>
          <w:sz w:val="20"/>
        </w:rPr>
        <w:t xml:space="preserve">5.1.3 </w:t>
      </w:r>
      <w:r w:rsidR="00461D83">
        <w:rPr>
          <w:rFonts w:ascii="Verdana" w:hAnsi="Verdana"/>
          <w:sz w:val="20"/>
        </w:rPr>
        <w:t xml:space="preserve">For tickets </w:t>
      </w:r>
      <w:r w:rsidR="009E56C2">
        <w:rPr>
          <w:rFonts w:ascii="Verdana" w:hAnsi="Verdana"/>
          <w:sz w:val="20"/>
        </w:rPr>
        <w:t>added to</w:t>
      </w:r>
      <w:r w:rsidR="00461D83">
        <w:rPr>
          <w:rFonts w:ascii="Verdana" w:hAnsi="Verdana"/>
          <w:sz w:val="20"/>
        </w:rPr>
        <w:t xml:space="preserve"> the ticketing system via email, </w:t>
      </w:r>
      <w:r w:rsidR="006F3837">
        <w:rPr>
          <w:rFonts w:ascii="Verdana" w:hAnsi="Verdana"/>
          <w:sz w:val="20"/>
        </w:rPr>
        <w:t xml:space="preserve">web portal, or internally through the ticketing system, agents are to work to resolve tickets first based on priority and then from oldest </w:t>
      </w:r>
      <w:r w:rsidR="00665684">
        <w:rPr>
          <w:rFonts w:ascii="Verdana" w:hAnsi="Verdana"/>
          <w:sz w:val="20"/>
        </w:rPr>
        <w:t xml:space="preserve">to newest </w:t>
      </w:r>
      <w:r w:rsidR="00F924B6">
        <w:rPr>
          <w:rFonts w:ascii="Verdana" w:hAnsi="Verdana"/>
          <w:sz w:val="20"/>
        </w:rPr>
        <w:t xml:space="preserve">by open date </w:t>
      </w:r>
      <w:r w:rsidR="00665684">
        <w:rPr>
          <w:rFonts w:ascii="Verdana" w:hAnsi="Verdana"/>
          <w:sz w:val="20"/>
        </w:rPr>
        <w:t>and assign the ticket to their personal ticket queue.</w:t>
      </w:r>
    </w:p>
    <w:p w14:paraId="6C3353D3" w14:textId="0823B440" w:rsidR="006F33E0" w:rsidRDefault="006F33E0" w:rsidP="00BF0BD4">
      <w:pPr>
        <w:ind w:left="1440"/>
        <w:rPr>
          <w:rFonts w:ascii="Verdana" w:hAnsi="Verdana"/>
          <w:sz w:val="20"/>
        </w:rPr>
      </w:pPr>
    </w:p>
    <w:p w14:paraId="5CC6B29F" w14:textId="2750E61C" w:rsidR="006F33E0" w:rsidRDefault="006F33E0" w:rsidP="00BF0BD4">
      <w:pPr>
        <w:ind w:left="1440"/>
        <w:rPr>
          <w:rFonts w:ascii="Verdana" w:hAnsi="Verdana"/>
          <w:sz w:val="20"/>
        </w:rPr>
      </w:pPr>
      <w:r>
        <w:rPr>
          <w:rFonts w:ascii="Verdana" w:hAnsi="Verdana"/>
          <w:sz w:val="20"/>
        </w:rPr>
        <w:t>5.1.4</w:t>
      </w:r>
      <w:r w:rsidR="002E6591">
        <w:rPr>
          <w:rFonts w:ascii="Verdana" w:hAnsi="Verdana"/>
          <w:sz w:val="20"/>
        </w:rPr>
        <w:t xml:space="preserve"> If the Tier 1 agent </w:t>
      </w:r>
      <w:r w:rsidR="00F1140A">
        <w:rPr>
          <w:rFonts w:ascii="Verdana" w:hAnsi="Verdana"/>
          <w:sz w:val="20"/>
        </w:rPr>
        <w:t>can</w:t>
      </w:r>
      <w:r w:rsidR="002E6591">
        <w:rPr>
          <w:rFonts w:ascii="Verdana" w:hAnsi="Verdana"/>
          <w:sz w:val="20"/>
        </w:rPr>
        <w:t xml:space="preserve"> resolve the ticket, issue resolution should be added to the ticket to ensure client notification of resolution.</w:t>
      </w:r>
    </w:p>
    <w:p w14:paraId="10A33E33" w14:textId="6195D589" w:rsidR="00AB6DC4" w:rsidRDefault="00AB6DC4" w:rsidP="00BF0BD4">
      <w:pPr>
        <w:ind w:left="1440"/>
        <w:rPr>
          <w:rFonts w:ascii="Verdana" w:hAnsi="Verdana"/>
          <w:sz w:val="20"/>
        </w:rPr>
      </w:pPr>
    </w:p>
    <w:p w14:paraId="4C2DCCA6" w14:textId="03263787" w:rsidR="00AB6DC4" w:rsidRDefault="00AB6DC4" w:rsidP="00BF0BD4">
      <w:pPr>
        <w:ind w:left="1440"/>
        <w:rPr>
          <w:rFonts w:ascii="Verdana" w:hAnsi="Verdana"/>
          <w:sz w:val="20"/>
        </w:rPr>
      </w:pPr>
      <w:r>
        <w:rPr>
          <w:rFonts w:ascii="Verdana" w:hAnsi="Verdana"/>
          <w:sz w:val="20"/>
        </w:rPr>
        <w:t>5.1.</w:t>
      </w:r>
      <w:r w:rsidR="001C42C1">
        <w:rPr>
          <w:rFonts w:ascii="Verdana" w:hAnsi="Verdana"/>
          <w:sz w:val="20"/>
        </w:rPr>
        <w:t>5</w:t>
      </w:r>
      <w:r>
        <w:rPr>
          <w:rFonts w:ascii="Verdana" w:hAnsi="Verdana"/>
          <w:sz w:val="20"/>
        </w:rPr>
        <w:t xml:space="preserve"> If the </w:t>
      </w:r>
      <w:r w:rsidR="00BF0BD4">
        <w:rPr>
          <w:rFonts w:ascii="Verdana" w:hAnsi="Verdana"/>
          <w:sz w:val="20"/>
        </w:rPr>
        <w:t xml:space="preserve">ticket </w:t>
      </w:r>
      <w:r w:rsidR="00E5116B">
        <w:rPr>
          <w:rFonts w:ascii="Verdana" w:hAnsi="Verdana"/>
          <w:sz w:val="20"/>
        </w:rPr>
        <w:t>is to be handled by Accounting, a ticket is entered into the ticketing system, the caller’s email should be ente</w:t>
      </w:r>
      <w:r w:rsidR="00812283">
        <w:rPr>
          <w:rFonts w:ascii="Verdana" w:hAnsi="Verdana"/>
          <w:sz w:val="20"/>
        </w:rPr>
        <w:t>red as the “Reporter</w:t>
      </w:r>
      <w:r w:rsidR="00C30F45">
        <w:rPr>
          <w:rFonts w:ascii="Verdana" w:hAnsi="Verdana"/>
          <w:sz w:val="20"/>
        </w:rPr>
        <w:t>.</w:t>
      </w:r>
      <w:r w:rsidR="00F1140A">
        <w:rPr>
          <w:rFonts w:ascii="Verdana" w:hAnsi="Verdana"/>
          <w:sz w:val="20"/>
        </w:rPr>
        <w:t>”</w:t>
      </w:r>
    </w:p>
    <w:p w14:paraId="6D079A25" w14:textId="57B15D93" w:rsidR="005C1788" w:rsidRDefault="005C1788" w:rsidP="00BF0BD4">
      <w:pPr>
        <w:ind w:left="1440"/>
        <w:rPr>
          <w:rFonts w:ascii="Verdana" w:hAnsi="Verdana"/>
          <w:sz w:val="20"/>
        </w:rPr>
      </w:pPr>
    </w:p>
    <w:p w14:paraId="4A5FAC0A" w14:textId="1332578B" w:rsidR="005C1788" w:rsidRDefault="005C1788" w:rsidP="00BF0BD4">
      <w:pPr>
        <w:ind w:left="1440"/>
        <w:rPr>
          <w:rFonts w:ascii="Verdana" w:hAnsi="Verdana"/>
          <w:sz w:val="20"/>
        </w:rPr>
      </w:pPr>
      <w:r>
        <w:rPr>
          <w:rFonts w:ascii="Verdana" w:hAnsi="Verdana"/>
          <w:sz w:val="20"/>
        </w:rPr>
        <w:lastRenderedPageBreak/>
        <w:t>5.1.</w:t>
      </w:r>
      <w:r w:rsidR="001C42C1">
        <w:rPr>
          <w:rFonts w:ascii="Verdana" w:hAnsi="Verdana"/>
          <w:sz w:val="20"/>
        </w:rPr>
        <w:t>6</w:t>
      </w:r>
      <w:r>
        <w:rPr>
          <w:rFonts w:ascii="Verdana" w:hAnsi="Verdana"/>
          <w:sz w:val="20"/>
        </w:rPr>
        <w:t xml:space="preserve"> </w:t>
      </w:r>
      <w:r w:rsidR="00702BE2">
        <w:rPr>
          <w:rFonts w:ascii="Verdana" w:hAnsi="Verdana"/>
          <w:sz w:val="20"/>
        </w:rPr>
        <w:t>If the call or ticket requires information to resolve from other internal departments such as sales, project managers, o</w:t>
      </w:r>
      <w:r w:rsidR="00106D18">
        <w:rPr>
          <w:rFonts w:ascii="Verdana" w:hAnsi="Verdana"/>
          <w:sz w:val="20"/>
        </w:rPr>
        <w:t>r customer success managers, the agent is to request information via email and add all correspondence as an “Internal Note” in the ticket.</w:t>
      </w:r>
      <w:r w:rsidR="00AE41E9">
        <w:rPr>
          <w:rFonts w:ascii="Verdana" w:hAnsi="Verdana"/>
          <w:sz w:val="20"/>
        </w:rPr>
        <w:t xml:space="preserve"> After information is received, the ticket is to be resolved </w:t>
      </w:r>
      <w:r w:rsidR="00FD0AA2">
        <w:rPr>
          <w:rFonts w:ascii="Verdana" w:hAnsi="Verdana"/>
          <w:sz w:val="20"/>
        </w:rPr>
        <w:t xml:space="preserve">by the Tier 1 agent </w:t>
      </w:r>
      <w:r w:rsidR="00AE41E9">
        <w:rPr>
          <w:rFonts w:ascii="Verdana" w:hAnsi="Verdana"/>
          <w:sz w:val="20"/>
        </w:rPr>
        <w:t>and the customer is</w:t>
      </w:r>
      <w:r w:rsidR="00FD0AA2">
        <w:rPr>
          <w:rFonts w:ascii="Verdana" w:hAnsi="Verdana"/>
          <w:sz w:val="20"/>
        </w:rPr>
        <w:t xml:space="preserve"> to be</w:t>
      </w:r>
      <w:r w:rsidR="00AE41E9">
        <w:rPr>
          <w:rFonts w:ascii="Verdana" w:hAnsi="Verdana"/>
          <w:sz w:val="20"/>
        </w:rPr>
        <w:t xml:space="preserve"> notified of the resolution.</w:t>
      </w:r>
      <w:r w:rsidR="005A1F59">
        <w:rPr>
          <w:rFonts w:ascii="Verdana" w:hAnsi="Verdana"/>
          <w:sz w:val="20"/>
        </w:rPr>
        <w:t xml:space="preserve"> </w:t>
      </w:r>
    </w:p>
    <w:p w14:paraId="73768B2F" w14:textId="25C678E5" w:rsidR="00AE41E9" w:rsidRDefault="00AE41E9" w:rsidP="00BF0BD4">
      <w:pPr>
        <w:ind w:left="1440"/>
        <w:rPr>
          <w:rFonts w:ascii="Verdana" w:hAnsi="Verdana"/>
          <w:sz w:val="20"/>
        </w:rPr>
      </w:pPr>
    </w:p>
    <w:p w14:paraId="4A18B58B" w14:textId="1892A075" w:rsidR="00AE41E9" w:rsidRDefault="00AE41E9" w:rsidP="00BF0BD4">
      <w:pPr>
        <w:ind w:left="1440"/>
        <w:rPr>
          <w:rFonts w:ascii="Verdana" w:hAnsi="Verdana"/>
          <w:sz w:val="20"/>
        </w:rPr>
      </w:pPr>
      <w:r>
        <w:rPr>
          <w:rFonts w:ascii="Verdana" w:hAnsi="Verdana"/>
          <w:sz w:val="20"/>
        </w:rPr>
        <w:t>5.1.</w:t>
      </w:r>
      <w:r w:rsidR="001C42C1">
        <w:rPr>
          <w:rFonts w:ascii="Verdana" w:hAnsi="Verdana"/>
          <w:sz w:val="20"/>
        </w:rPr>
        <w:t>7</w:t>
      </w:r>
      <w:r>
        <w:rPr>
          <w:rFonts w:ascii="Verdana" w:hAnsi="Verdana"/>
          <w:sz w:val="20"/>
        </w:rPr>
        <w:t xml:space="preserve"> If the Tier 1 support agent is unable to resolve the </w:t>
      </w:r>
      <w:r w:rsidR="008A0752">
        <w:rPr>
          <w:rFonts w:ascii="Verdana" w:hAnsi="Verdana"/>
          <w:sz w:val="20"/>
        </w:rPr>
        <w:t>ticket, the ticket is then escalated to the Tier 2 ticket queue for resolution.</w:t>
      </w:r>
    </w:p>
    <w:p w14:paraId="0D6EA5ED" w14:textId="68E02D97" w:rsidR="00CD5C78" w:rsidRDefault="00CD5C78" w:rsidP="00CD5C78">
      <w:pPr>
        <w:rPr>
          <w:rFonts w:ascii="Verdana" w:hAnsi="Verdana"/>
          <w:sz w:val="20"/>
        </w:rPr>
      </w:pPr>
    </w:p>
    <w:p w14:paraId="7B41F868" w14:textId="79F67EE8" w:rsidR="00CD5C78" w:rsidRPr="00CD5C78" w:rsidRDefault="00CD5C78" w:rsidP="00CD5C78">
      <w:pPr>
        <w:rPr>
          <w:rFonts w:ascii="Verdana" w:hAnsi="Verdana"/>
          <w:b/>
          <w:bCs/>
          <w:sz w:val="20"/>
        </w:rPr>
      </w:pPr>
      <w:r w:rsidRPr="00CD5C78">
        <w:rPr>
          <w:rFonts w:ascii="Verdana" w:hAnsi="Verdana"/>
          <w:b/>
          <w:bCs/>
          <w:sz w:val="20"/>
        </w:rPr>
        <w:tab/>
        <w:t>5.2 Tier 2</w:t>
      </w:r>
    </w:p>
    <w:p w14:paraId="710A29C0" w14:textId="006F72BC" w:rsidR="00AE41E9" w:rsidRDefault="00AE41E9" w:rsidP="00BF0BD4">
      <w:pPr>
        <w:ind w:left="1440"/>
        <w:rPr>
          <w:rFonts w:ascii="Verdana" w:hAnsi="Verdana"/>
          <w:sz w:val="20"/>
        </w:rPr>
      </w:pPr>
    </w:p>
    <w:p w14:paraId="4E9151DD" w14:textId="5F63B2B7" w:rsidR="00CD5C78" w:rsidRDefault="00CD5C78" w:rsidP="00BF0BD4">
      <w:pPr>
        <w:ind w:left="1440"/>
        <w:rPr>
          <w:rFonts w:ascii="Verdana" w:hAnsi="Verdana"/>
          <w:sz w:val="20"/>
        </w:rPr>
      </w:pPr>
      <w:r>
        <w:rPr>
          <w:rFonts w:ascii="Verdana" w:hAnsi="Verdana"/>
          <w:sz w:val="20"/>
        </w:rPr>
        <w:t xml:space="preserve">5.2.1 </w:t>
      </w:r>
      <w:r w:rsidR="00DF46E5">
        <w:rPr>
          <w:rFonts w:ascii="Verdana" w:hAnsi="Verdana"/>
          <w:sz w:val="20"/>
        </w:rPr>
        <w:t>All escalated tickets moved to the Tier 2 ticket queue should be addressed</w:t>
      </w:r>
      <w:r w:rsidR="001C42C1">
        <w:rPr>
          <w:rFonts w:ascii="Verdana" w:hAnsi="Verdana"/>
          <w:sz w:val="20"/>
        </w:rPr>
        <w:t xml:space="preserve"> in order</w:t>
      </w:r>
      <w:r w:rsidR="00F924B6">
        <w:rPr>
          <w:rFonts w:ascii="Verdana" w:hAnsi="Verdana"/>
          <w:sz w:val="20"/>
        </w:rPr>
        <w:t xml:space="preserve"> by priority and then by oldest to newest based on open date.</w:t>
      </w:r>
      <w:r w:rsidR="00EC0CC8">
        <w:rPr>
          <w:rFonts w:ascii="Verdana" w:hAnsi="Verdana"/>
          <w:sz w:val="20"/>
        </w:rPr>
        <w:t xml:space="preserve"> </w:t>
      </w:r>
    </w:p>
    <w:p w14:paraId="04F14C7F" w14:textId="3810476E" w:rsidR="00EC0CC8" w:rsidRDefault="00EC0CC8" w:rsidP="00BF0BD4">
      <w:pPr>
        <w:ind w:left="1440"/>
        <w:rPr>
          <w:rFonts w:ascii="Verdana" w:hAnsi="Verdana"/>
          <w:sz w:val="20"/>
        </w:rPr>
      </w:pPr>
    </w:p>
    <w:p w14:paraId="63910FA4" w14:textId="431A0FD1" w:rsidR="00EC0CC8" w:rsidRDefault="00EC0CC8" w:rsidP="00BF0BD4">
      <w:pPr>
        <w:ind w:left="1440"/>
        <w:rPr>
          <w:rFonts w:ascii="Verdana" w:hAnsi="Verdana"/>
          <w:sz w:val="20"/>
        </w:rPr>
      </w:pPr>
      <w:r>
        <w:rPr>
          <w:rFonts w:ascii="Verdana" w:hAnsi="Verdana"/>
          <w:sz w:val="20"/>
        </w:rPr>
        <w:t xml:space="preserve">5.2.2 </w:t>
      </w:r>
      <w:r w:rsidR="00867BEC">
        <w:rPr>
          <w:rFonts w:ascii="Verdana" w:hAnsi="Verdana"/>
          <w:sz w:val="20"/>
        </w:rPr>
        <w:t xml:space="preserve">Issue resolution should be added to each ticket resolved to ensure client notification of </w:t>
      </w:r>
      <w:r w:rsidR="008847A7">
        <w:rPr>
          <w:rFonts w:ascii="Verdana" w:hAnsi="Verdana"/>
          <w:sz w:val="20"/>
        </w:rPr>
        <w:t>resolution.</w:t>
      </w:r>
    </w:p>
    <w:p w14:paraId="59DD9CD1" w14:textId="25D5DA3D" w:rsidR="008847A7" w:rsidRDefault="008847A7" w:rsidP="00BF0BD4">
      <w:pPr>
        <w:ind w:left="1440"/>
        <w:rPr>
          <w:rFonts w:ascii="Verdana" w:hAnsi="Verdana"/>
          <w:sz w:val="20"/>
        </w:rPr>
      </w:pPr>
    </w:p>
    <w:p w14:paraId="1822279C" w14:textId="049053AA" w:rsidR="008847A7" w:rsidRDefault="008847A7" w:rsidP="00BF0BD4">
      <w:pPr>
        <w:ind w:left="1440"/>
        <w:rPr>
          <w:rFonts w:ascii="Verdana" w:hAnsi="Verdana"/>
          <w:sz w:val="20"/>
        </w:rPr>
      </w:pPr>
      <w:r>
        <w:rPr>
          <w:rFonts w:ascii="Verdana" w:hAnsi="Verdana"/>
          <w:sz w:val="20"/>
        </w:rPr>
        <w:t xml:space="preserve">5.2.3 </w:t>
      </w:r>
      <w:r w:rsidR="004F1A90">
        <w:rPr>
          <w:rFonts w:ascii="Verdana" w:hAnsi="Verdana"/>
          <w:sz w:val="20"/>
        </w:rPr>
        <w:t xml:space="preserve">If the ticket should require </w:t>
      </w:r>
      <w:r w:rsidR="000D043A">
        <w:rPr>
          <w:rFonts w:ascii="Verdana" w:hAnsi="Verdana"/>
          <w:sz w:val="20"/>
        </w:rPr>
        <w:t xml:space="preserve">assistance from Engineering, the ticket is to be discussed in the twice-per-week meeting </w:t>
      </w:r>
      <w:r w:rsidR="00BF4708">
        <w:rPr>
          <w:rFonts w:ascii="Verdana" w:hAnsi="Verdana"/>
          <w:sz w:val="20"/>
        </w:rPr>
        <w:t xml:space="preserve">between Tier 2 and Engineering. If Engineering </w:t>
      </w:r>
      <w:proofErr w:type="gramStart"/>
      <w:r w:rsidR="00BF4708">
        <w:rPr>
          <w:rFonts w:ascii="Verdana" w:hAnsi="Verdana"/>
          <w:sz w:val="20"/>
        </w:rPr>
        <w:t>is able to</w:t>
      </w:r>
      <w:proofErr w:type="gramEnd"/>
      <w:r w:rsidR="00BF4708">
        <w:rPr>
          <w:rFonts w:ascii="Verdana" w:hAnsi="Verdana"/>
          <w:sz w:val="20"/>
        </w:rPr>
        <w:t xml:space="preserve"> assist Tier 2</w:t>
      </w:r>
      <w:r w:rsidR="00312C0A">
        <w:rPr>
          <w:rFonts w:ascii="Verdana" w:hAnsi="Verdana"/>
          <w:sz w:val="20"/>
        </w:rPr>
        <w:t>, the ticket should then be resolved as stated in 5.2.2.</w:t>
      </w:r>
    </w:p>
    <w:p w14:paraId="2FE650CA" w14:textId="31B6196B" w:rsidR="00312C0A" w:rsidRDefault="00312C0A" w:rsidP="00BF0BD4">
      <w:pPr>
        <w:ind w:left="1440"/>
        <w:rPr>
          <w:rFonts w:ascii="Verdana" w:hAnsi="Verdana"/>
          <w:sz w:val="20"/>
        </w:rPr>
      </w:pPr>
    </w:p>
    <w:p w14:paraId="31F9F504" w14:textId="32A489DB" w:rsidR="00312C0A" w:rsidRDefault="00312C0A" w:rsidP="00BF0BD4">
      <w:pPr>
        <w:ind w:left="1440"/>
        <w:rPr>
          <w:rFonts w:ascii="Verdana" w:hAnsi="Verdana"/>
          <w:sz w:val="20"/>
        </w:rPr>
      </w:pPr>
      <w:r>
        <w:rPr>
          <w:rFonts w:ascii="Verdana" w:hAnsi="Verdana"/>
          <w:sz w:val="20"/>
        </w:rPr>
        <w:t xml:space="preserve">5.2.3 Should </w:t>
      </w:r>
      <w:r w:rsidR="00967984">
        <w:rPr>
          <w:rFonts w:ascii="Verdana" w:hAnsi="Verdana"/>
          <w:sz w:val="20"/>
        </w:rPr>
        <w:t>work be required from Engineering to resolve the issue, an Engineering ticket is to be entered in the Engineering ticket queue</w:t>
      </w:r>
      <w:r w:rsidR="00820FF5">
        <w:rPr>
          <w:rFonts w:ascii="Verdana" w:hAnsi="Verdana"/>
          <w:sz w:val="20"/>
        </w:rPr>
        <w:t xml:space="preserve"> while keeping the original ticket open </w:t>
      </w:r>
      <w:r w:rsidR="00480301">
        <w:rPr>
          <w:rFonts w:ascii="Verdana" w:hAnsi="Verdana"/>
          <w:sz w:val="20"/>
        </w:rPr>
        <w:t>for</w:t>
      </w:r>
      <w:r w:rsidR="00820FF5">
        <w:rPr>
          <w:rFonts w:ascii="Verdana" w:hAnsi="Verdana"/>
          <w:sz w:val="20"/>
        </w:rPr>
        <w:t xml:space="preserve"> Tier 2</w:t>
      </w:r>
      <w:r w:rsidR="00480301">
        <w:rPr>
          <w:rFonts w:ascii="Verdana" w:hAnsi="Verdana"/>
          <w:sz w:val="20"/>
        </w:rPr>
        <w:t xml:space="preserve"> follow-up</w:t>
      </w:r>
      <w:r w:rsidR="00820FF5">
        <w:rPr>
          <w:rFonts w:ascii="Verdana" w:hAnsi="Verdana"/>
          <w:sz w:val="20"/>
        </w:rPr>
        <w:t>. After work is performed by Engineering or a decision is made o</w:t>
      </w:r>
      <w:r w:rsidR="00896A23">
        <w:rPr>
          <w:rFonts w:ascii="Verdana" w:hAnsi="Verdana"/>
          <w:sz w:val="20"/>
        </w:rPr>
        <w:t>n the disposition of the ticket (if work requested cannot be performed), the information is then supplied to the Tier 2 support agent and</w:t>
      </w:r>
      <w:r w:rsidR="002B3F82">
        <w:rPr>
          <w:rFonts w:ascii="Verdana" w:hAnsi="Verdana"/>
          <w:sz w:val="20"/>
        </w:rPr>
        <w:t xml:space="preserve"> the ticket is resolved as stated in 5.2.2.</w:t>
      </w:r>
    </w:p>
    <w:p w14:paraId="6D49599E" w14:textId="31FFF20B" w:rsidR="00696F06" w:rsidRDefault="00696F06" w:rsidP="00BF0BD4">
      <w:pPr>
        <w:ind w:left="1440"/>
        <w:rPr>
          <w:rFonts w:ascii="Verdana" w:hAnsi="Verdana"/>
          <w:sz w:val="20"/>
        </w:rPr>
      </w:pPr>
    </w:p>
    <w:p w14:paraId="59E49FB1" w14:textId="7757D7C1" w:rsidR="00696F06" w:rsidRDefault="00696F06" w:rsidP="00696F06">
      <w:pPr>
        <w:ind w:left="1440"/>
        <w:rPr>
          <w:rFonts w:ascii="Verdana" w:hAnsi="Verdana"/>
          <w:sz w:val="20"/>
        </w:rPr>
      </w:pPr>
      <w:r>
        <w:rPr>
          <w:rFonts w:ascii="Verdana" w:hAnsi="Verdana"/>
          <w:sz w:val="20"/>
        </w:rPr>
        <w:t xml:space="preserve">5.2.4 If the call or ticket requires information to resolve from other internal departments such as sales, project managers, or customer success managers, the Tier 2 agent is to request information via email and add all correspondence as an “Internal Note” in the ticket. After information is received, the ticket is to be resolved by the Tier 2 agent and the customer is to be notified of the resolution. </w:t>
      </w:r>
    </w:p>
    <w:p w14:paraId="42F55C59" w14:textId="77777777" w:rsidR="00696F06" w:rsidRDefault="00696F06" w:rsidP="00BF0BD4">
      <w:pPr>
        <w:ind w:left="1440"/>
        <w:rPr>
          <w:rFonts w:ascii="Verdana" w:hAnsi="Verdana"/>
          <w:sz w:val="20"/>
        </w:rPr>
      </w:pPr>
    </w:p>
    <w:p w14:paraId="132F3F89" w14:textId="16A5370D" w:rsidR="002B3F82" w:rsidRDefault="002B3F82" w:rsidP="00BF0BD4">
      <w:pPr>
        <w:ind w:left="1440"/>
        <w:rPr>
          <w:rFonts w:ascii="Verdana" w:hAnsi="Verdana"/>
          <w:sz w:val="20"/>
        </w:rPr>
      </w:pPr>
    </w:p>
    <w:p w14:paraId="38C56038" w14:textId="77777777" w:rsidR="00721B5A" w:rsidRDefault="00721B5A">
      <w:pPr>
        <w:pStyle w:val="Heading2"/>
        <w:rPr>
          <w:rFonts w:ascii="Verdana" w:hAnsi="Verdana"/>
          <w:sz w:val="20"/>
        </w:rPr>
      </w:pPr>
      <w:r>
        <w:rPr>
          <w:rFonts w:ascii="Verdana" w:hAnsi="Verdana"/>
          <w:sz w:val="20"/>
        </w:rPr>
        <w:t>6.</w:t>
      </w:r>
      <w:r>
        <w:rPr>
          <w:rFonts w:ascii="Verdana" w:hAnsi="Verdana"/>
          <w:sz w:val="20"/>
        </w:rPr>
        <w:tab/>
        <w:t>References</w:t>
      </w:r>
    </w:p>
    <w:p w14:paraId="02DDAE00" w14:textId="64567404" w:rsidR="007A2729" w:rsidRDefault="00D44EC0">
      <w:pPr>
        <w:rPr>
          <w:rFonts w:ascii="Verdana" w:hAnsi="Verdana"/>
          <w:sz w:val="20"/>
        </w:rPr>
      </w:pPr>
      <w:r>
        <w:rPr>
          <w:rFonts w:ascii="Verdana" w:hAnsi="Verdana"/>
          <w:sz w:val="20"/>
        </w:rPr>
        <w:t xml:space="preserve">WI-CST-002 Ticket </w:t>
      </w:r>
      <w:r w:rsidR="0039777A">
        <w:rPr>
          <w:rFonts w:ascii="Verdana" w:hAnsi="Verdana"/>
          <w:sz w:val="20"/>
        </w:rPr>
        <w:t>Documentation</w:t>
      </w:r>
    </w:p>
    <w:p w14:paraId="622C0136" w14:textId="77777777" w:rsidR="00200F2D" w:rsidRDefault="00200F2D">
      <w:pPr>
        <w:rPr>
          <w:rFonts w:ascii="Verdana" w:hAnsi="Verdana"/>
          <w:sz w:val="20"/>
        </w:rPr>
      </w:pPr>
    </w:p>
    <w:p w14:paraId="0D68F64B" w14:textId="373C10A1" w:rsidR="00721B5A" w:rsidRDefault="00721B5A">
      <w:pPr>
        <w:pStyle w:val="Heading2"/>
        <w:rPr>
          <w:rFonts w:ascii="Verdana" w:hAnsi="Verdana"/>
          <w:sz w:val="20"/>
        </w:rPr>
      </w:pPr>
      <w:r>
        <w:rPr>
          <w:rFonts w:ascii="Verdana" w:hAnsi="Verdana"/>
          <w:sz w:val="20"/>
        </w:rPr>
        <w:t xml:space="preserve">7. </w:t>
      </w:r>
      <w:r>
        <w:rPr>
          <w:rFonts w:ascii="Verdana" w:hAnsi="Verdana"/>
          <w:sz w:val="20"/>
        </w:rPr>
        <w:tab/>
        <w:t xml:space="preserve">Definitions </w:t>
      </w:r>
    </w:p>
    <w:p w14:paraId="50EFF6D5" w14:textId="2BD16490" w:rsidR="00235CEA" w:rsidRPr="00A06BC5" w:rsidRDefault="00A06BC5" w:rsidP="00235CEA">
      <w:pPr>
        <w:rPr>
          <w:rFonts w:ascii="Verdana" w:hAnsi="Verdana"/>
          <w:sz w:val="20"/>
          <w:szCs w:val="20"/>
        </w:rPr>
      </w:pPr>
      <w:r w:rsidRPr="00A06BC5">
        <w:rPr>
          <w:rFonts w:ascii="Verdana" w:hAnsi="Verdana"/>
          <w:sz w:val="20"/>
          <w:szCs w:val="20"/>
        </w:rPr>
        <w:t>N/A</w:t>
      </w:r>
    </w:p>
    <w:sectPr w:rsidR="00235CEA" w:rsidRPr="00A06BC5">
      <w:headerReference w:type="default" r:id="rId7"/>
      <w:footerReference w:type="default" r:id="rId8"/>
      <w:pgSz w:w="12240" w:h="15840" w:code="1"/>
      <w:pgMar w:top="1440" w:right="1800" w:bottom="1440" w:left="180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DA87A" w14:textId="77777777" w:rsidR="007333B8" w:rsidRDefault="007333B8">
      <w:r>
        <w:separator/>
      </w:r>
    </w:p>
  </w:endnote>
  <w:endnote w:type="continuationSeparator" w:id="0">
    <w:p w14:paraId="4D6EE18C" w14:textId="77777777" w:rsidR="007333B8" w:rsidRDefault="00733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24D4" w14:textId="437990EB" w:rsidR="00721B5A" w:rsidRDefault="00721B5A">
    <w:pPr>
      <w:pStyle w:val="Footer"/>
    </w:pPr>
    <w:r>
      <w:t xml:space="preserve">Documents: </w:t>
    </w:r>
    <w:r w:rsidR="00E049BA">
      <w:t>SOP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F0027" w14:textId="77777777" w:rsidR="007333B8" w:rsidRDefault="007333B8">
      <w:r>
        <w:separator/>
      </w:r>
    </w:p>
  </w:footnote>
  <w:footnote w:type="continuationSeparator" w:id="0">
    <w:p w14:paraId="32D30697" w14:textId="77777777" w:rsidR="007333B8" w:rsidRDefault="00733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23"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2481"/>
      <w:gridCol w:w="2647"/>
      <w:gridCol w:w="2496"/>
      <w:gridCol w:w="1599"/>
    </w:tblGrid>
    <w:tr w:rsidR="00721B5A" w14:paraId="0B2F138F" w14:textId="77777777">
      <w:trPr>
        <w:trHeight w:val="360"/>
      </w:trPr>
      <w:tc>
        <w:tcPr>
          <w:tcW w:w="1620" w:type="dxa"/>
          <w:vMerge w:val="restart"/>
          <w:vAlign w:val="center"/>
        </w:tcPr>
        <w:p w14:paraId="50F59174" w14:textId="35224CB0" w:rsidR="00721B5A" w:rsidRDefault="00BC6614">
          <w:pPr>
            <w:pStyle w:val="Header"/>
            <w:jc w:val="center"/>
            <w:rPr>
              <w:rFonts w:ascii="Arial" w:hAnsi="Arial" w:cs="Arial"/>
              <w:sz w:val="18"/>
              <w:szCs w:val="18"/>
            </w:rPr>
          </w:pPr>
          <w:r w:rsidRPr="009F47F3">
            <w:rPr>
              <w:noProof/>
            </w:rPr>
            <w:drawing>
              <wp:inline distT="0" distB="0" distL="0" distR="0" wp14:anchorId="2B1A63C9" wp14:editId="0E2B7B35">
                <wp:extent cx="1438275" cy="5334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533400"/>
                        </a:xfrm>
                        <a:prstGeom prst="rect">
                          <a:avLst/>
                        </a:prstGeom>
                        <a:noFill/>
                        <a:ln>
                          <a:noFill/>
                        </a:ln>
                      </pic:spPr>
                    </pic:pic>
                  </a:graphicData>
                </a:graphic>
              </wp:inline>
            </w:drawing>
          </w:r>
        </w:p>
      </w:tc>
      <w:tc>
        <w:tcPr>
          <w:tcW w:w="3060" w:type="dxa"/>
          <w:vMerge w:val="restart"/>
          <w:vAlign w:val="center"/>
        </w:tcPr>
        <w:p w14:paraId="77D9E681" w14:textId="77777777" w:rsidR="00F17546" w:rsidRDefault="00F17546">
          <w:pPr>
            <w:pStyle w:val="Header"/>
            <w:rPr>
              <w:rFonts w:ascii="Arial" w:hAnsi="Arial" w:cs="Arial"/>
              <w:b/>
              <w:bCs/>
              <w:sz w:val="18"/>
              <w:szCs w:val="18"/>
            </w:rPr>
          </w:pPr>
        </w:p>
        <w:p w14:paraId="7D6CDB1F" w14:textId="77777777" w:rsidR="00721B5A" w:rsidRDefault="00F17546">
          <w:pPr>
            <w:pStyle w:val="Header"/>
            <w:rPr>
              <w:rFonts w:ascii="Arial" w:hAnsi="Arial" w:cs="Arial"/>
              <w:b/>
              <w:bCs/>
              <w:sz w:val="18"/>
              <w:szCs w:val="18"/>
            </w:rPr>
          </w:pPr>
          <w:r>
            <w:rPr>
              <w:rFonts w:ascii="Arial" w:hAnsi="Arial" w:cs="Arial"/>
              <w:b/>
              <w:bCs/>
              <w:sz w:val="18"/>
              <w:szCs w:val="18"/>
            </w:rPr>
            <w:t>Client Technical Support</w:t>
          </w:r>
        </w:p>
        <w:p w14:paraId="541F22A1" w14:textId="77777777" w:rsidR="00721B5A" w:rsidRDefault="00721B5A">
          <w:pPr>
            <w:pStyle w:val="Header"/>
            <w:rPr>
              <w:rFonts w:ascii="Arial" w:hAnsi="Arial" w:cs="Arial"/>
              <w:b/>
              <w:bCs/>
              <w:sz w:val="18"/>
              <w:szCs w:val="18"/>
            </w:rPr>
          </w:pPr>
        </w:p>
      </w:tc>
      <w:tc>
        <w:tcPr>
          <w:tcW w:w="2700" w:type="dxa"/>
          <w:vAlign w:val="center"/>
        </w:tcPr>
        <w:p w14:paraId="498069C2" w14:textId="7938B41C" w:rsidR="00721B5A" w:rsidRDefault="001F4939">
          <w:pPr>
            <w:pStyle w:val="Header"/>
            <w:rPr>
              <w:rFonts w:ascii="Arial" w:hAnsi="Arial" w:cs="Arial"/>
              <w:b/>
              <w:bCs/>
              <w:sz w:val="18"/>
              <w:szCs w:val="18"/>
            </w:rPr>
          </w:pPr>
          <w:r>
            <w:rPr>
              <w:rFonts w:ascii="Arial" w:hAnsi="Arial" w:cs="Arial"/>
              <w:b/>
              <w:bCs/>
              <w:sz w:val="18"/>
              <w:szCs w:val="18"/>
            </w:rPr>
            <w:t>SOP</w:t>
          </w:r>
          <w:r w:rsidR="00721B5A">
            <w:rPr>
              <w:rFonts w:ascii="Arial" w:hAnsi="Arial" w:cs="Arial"/>
              <w:b/>
              <w:bCs/>
              <w:sz w:val="18"/>
              <w:szCs w:val="18"/>
            </w:rPr>
            <w:t xml:space="preserve"> #</w:t>
          </w:r>
        </w:p>
      </w:tc>
      <w:tc>
        <w:tcPr>
          <w:tcW w:w="1843" w:type="dxa"/>
          <w:vAlign w:val="center"/>
        </w:tcPr>
        <w:p w14:paraId="5E660733" w14:textId="55B6A6A9" w:rsidR="00721B5A" w:rsidRDefault="001F4939">
          <w:pPr>
            <w:pStyle w:val="Header"/>
            <w:rPr>
              <w:rFonts w:ascii="Arial" w:hAnsi="Arial" w:cs="Arial"/>
              <w:sz w:val="18"/>
              <w:szCs w:val="18"/>
            </w:rPr>
          </w:pPr>
          <w:r>
            <w:rPr>
              <w:rFonts w:ascii="Arial" w:hAnsi="Arial" w:cs="Arial"/>
              <w:sz w:val="18"/>
              <w:szCs w:val="18"/>
            </w:rPr>
            <w:t>SOP</w:t>
          </w:r>
          <w:r w:rsidR="00C318D5">
            <w:rPr>
              <w:rFonts w:ascii="Arial" w:hAnsi="Arial" w:cs="Arial"/>
              <w:sz w:val="18"/>
              <w:szCs w:val="18"/>
            </w:rPr>
            <w:t>-</w:t>
          </w:r>
          <w:r w:rsidR="00F17546">
            <w:rPr>
              <w:rFonts w:ascii="Arial" w:hAnsi="Arial" w:cs="Arial"/>
              <w:sz w:val="18"/>
              <w:szCs w:val="18"/>
            </w:rPr>
            <w:t>CTS-00</w:t>
          </w:r>
          <w:r w:rsidR="00770988">
            <w:rPr>
              <w:rFonts w:ascii="Arial" w:hAnsi="Arial" w:cs="Arial"/>
              <w:sz w:val="18"/>
              <w:szCs w:val="18"/>
            </w:rPr>
            <w:t>2</w:t>
          </w:r>
        </w:p>
      </w:tc>
    </w:tr>
    <w:tr w:rsidR="00721B5A" w14:paraId="7500344D" w14:textId="77777777">
      <w:trPr>
        <w:trHeight w:val="360"/>
      </w:trPr>
      <w:tc>
        <w:tcPr>
          <w:tcW w:w="1620" w:type="dxa"/>
          <w:vMerge/>
          <w:vAlign w:val="center"/>
        </w:tcPr>
        <w:p w14:paraId="280E1B3C" w14:textId="77777777" w:rsidR="00721B5A" w:rsidRDefault="00721B5A">
          <w:pPr>
            <w:pStyle w:val="Header"/>
            <w:rPr>
              <w:rFonts w:ascii="Arial" w:hAnsi="Arial" w:cs="Arial"/>
              <w:sz w:val="18"/>
              <w:szCs w:val="18"/>
            </w:rPr>
          </w:pPr>
        </w:p>
      </w:tc>
      <w:tc>
        <w:tcPr>
          <w:tcW w:w="3060" w:type="dxa"/>
          <w:vMerge/>
          <w:vAlign w:val="center"/>
        </w:tcPr>
        <w:p w14:paraId="40378ECF" w14:textId="77777777" w:rsidR="00721B5A" w:rsidRDefault="00721B5A">
          <w:pPr>
            <w:pStyle w:val="Header"/>
            <w:rPr>
              <w:rFonts w:ascii="Arial" w:hAnsi="Arial" w:cs="Arial"/>
              <w:sz w:val="18"/>
              <w:szCs w:val="18"/>
            </w:rPr>
          </w:pPr>
        </w:p>
      </w:tc>
      <w:tc>
        <w:tcPr>
          <w:tcW w:w="2700" w:type="dxa"/>
          <w:vAlign w:val="center"/>
        </w:tcPr>
        <w:p w14:paraId="2E6E7604" w14:textId="77777777" w:rsidR="00721B5A" w:rsidRDefault="00721B5A">
          <w:pPr>
            <w:pStyle w:val="Header"/>
            <w:rPr>
              <w:rFonts w:ascii="Arial" w:hAnsi="Arial" w:cs="Arial"/>
              <w:b/>
              <w:bCs/>
              <w:sz w:val="18"/>
              <w:szCs w:val="18"/>
            </w:rPr>
          </w:pPr>
          <w:r>
            <w:rPr>
              <w:rFonts w:ascii="Arial" w:hAnsi="Arial" w:cs="Arial"/>
              <w:b/>
              <w:bCs/>
              <w:sz w:val="18"/>
              <w:szCs w:val="18"/>
            </w:rPr>
            <w:t>Revision #</w:t>
          </w:r>
        </w:p>
      </w:tc>
      <w:tc>
        <w:tcPr>
          <w:tcW w:w="1843" w:type="dxa"/>
          <w:vAlign w:val="center"/>
        </w:tcPr>
        <w:p w14:paraId="5EB2309F" w14:textId="77777777" w:rsidR="00721B5A" w:rsidRDefault="00F17546">
          <w:pPr>
            <w:pStyle w:val="Header"/>
            <w:rPr>
              <w:rFonts w:ascii="Arial" w:hAnsi="Arial" w:cs="Arial"/>
              <w:sz w:val="18"/>
              <w:szCs w:val="18"/>
            </w:rPr>
          </w:pPr>
          <w:r>
            <w:rPr>
              <w:rFonts w:ascii="Arial" w:hAnsi="Arial" w:cs="Arial"/>
              <w:sz w:val="18"/>
              <w:szCs w:val="18"/>
            </w:rPr>
            <w:t>0</w:t>
          </w:r>
        </w:p>
      </w:tc>
    </w:tr>
    <w:tr w:rsidR="00721B5A" w14:paraId="3135F56E" w14:textId="77777777">
      <w:trPr>
        <w:trHeight w:val="360"/>
      </w:trPr>
      <w:tc>
        <w:tcPr>
          <w:tcW w:w="1620" w:type="dxa"/>
          <w:vMerge/>
          <w:vAlign w:val="center"/>
        </w:tcPr>
        <w:p w14:paraId="23E3676F" w14:textId="77777777" w:rsidR="00721B5A" w:rsidRDefault="00721B5A">
          <w:pPr>
            <w:pStyle w:val="Header"/>
            <w:rPr>
              <w:rFonts w:ascii="Arial" w:hAnsi="Arial" w:cs="Arial"/>
              <w:sz w:val="18"/>
              <w:szCs w:val="18"/>
            </w:rPr>
          </w:pPr>
        </w:p>
      </w:tc>
      <w:tc>
        <w:tcPr>
          <w:tcW w:w="3060" w:type="dxa"/>
          <w:vMerge/>
          <w:vAlign w:val="center"/>
        </w:tcPr>
        <w:p w14:paraId="6603D1BB" w14:textId="77777777" w:rsidR="00721B5A" w:rsidRDefault="00721B5A">
          <w:pPr>
            <w:pStyle w:val="Header"/>
            <w:rPr>
              <w:rFonts w:ascii="Arial" w:hAnsi="Arial" w:cs="Arial"/>
              <w:sz w:val="18"/>
              <w:szCs w:val="18"/>
            </w:rPr>
          </w:pPr>
        </w:p>
      </w:tc>
      <w:tc>
        <w:tcPr>
          <w:tcW w:w="2700" w:type="dxa"/>
          <w:vAlign w:val="center"/>
        </w:tcPr>
        <w:p w14:paraId="3B91ECEB" w14:textId="77777777" w:rsidR="00721B5A" w:rsidRDefault="00721B5A">
          <w:pPr>
            <w:pStyle w:val="Header"/>
            <w:rPr>
              <w:rFonts w:ascii="Arial" w:hAnsi="Arial" w:cs="Arial"/>
              <w:b/>
              <w:bCs/>
              <w:sz w:val="18"/>
              <w:szCs w:val="18"/>
            </w:rPr>
          </w:pPr>
          <w:r>
            <w:rPr>
              <w:rFonts w:ascii="Arial" w:hAnsi="Arial" w:cs="Arial"/>
              <w:b/>
              <w:bCs/>
              <w:sz w:val="18"/>
              <w:szCs w:val="18"/>
            </w:rPr>
            <w:t>Implementation Date</w:t>
          </w:r>
        </w:p>
      </w:tc>
      <w:tc>
        <w:tcPr>
          <w:tcW w:w="1843" w:type="dxa"/>
          <w:vAlign w:val="center"/>
        </w:tcPr>
        <w:p w14:paraId="683AC21E" w14:textId="77777777" w:rsidR="00721B5A" w:rsidRDefault="00721B5A">
          <w:pPr>
            <w:pStyle w:val="Header"/>
            <w:rPr>
              <w:rFonts w:ascii="Arial" w:hAnsi="Arial" w:cs="Arial"/>
              <w:sz w:val="18"/>
              <w:szCs w:val="18"/>
            </w:rPr>
          </w:pPr>
        </w:p>
      </w:tc>
    </w:tr>
    <w:tr w:rsidR="00721B5A" w14:paraId="1D5BDBA9" w14:textId="77777777">
      <w:trPr>
        <w:trHeight w:val="360"/>
      </w:trPr>
      <w:tc>
        <w:tcPr>
          <w:tcW w:w="1620" w:type="dxa"/>
          <w:vAlign w:val="center"/>
        </w:tcPr>
        <w:p w14:paraId="7E155273" w14:textId="77777777" w:rsidR="00721B5A" w:rsidRDefault="00721B5A">
          <w:pPr>
            <w:pStyle w:val="Header"/>
            <w:rPr>
              <w:rFonts w:ascii="Arial" w:hAnsi="Arial" w:cs="Arial"/>
              <w:b/>
              <w:bCs/>
              <w:sz w:val="18"/>
              <w:szCs w:val="18"/>
            </w:rPr>
          </w:pPr>
          <w:proofErr w:type="gramStart"/>
          <w:r>
            <w:rPr>
              <w:rFonts w:ascii="Arial" w:hAnsi="Arial" w:cs="Arial"/>
              <w:b/>
              <w:bCs/>
              <w:sz w:val="18"/>
              <w:szCs w:val="18"/>
            </w:rPr>
            <w:t>Page  #</w:t>
          </w:r>
          <w:proofErr w:type="gramEnd"/>
        </w:p>
      </w:tc>
      <w:tc>
        <w:tcPr>
          <w:tcW w:w="3060" w:type="dxa"/>
          <w:vAlign w:val="center"/>
        </w:tcPr>
        <w:p w14:paraId="13090FA6" w14:textId="0A8E57D3" w:rsidR="00721B5A" w:rsidRDefault="00721B5A">
          <w:pPr>
            <w:pStyle w:val="Header"/>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9E795F">
            <w:rPr>
              <w:rFonts w:ascii="Arial" w:hAnsi="Arial" w:cs="Arial"/>
              <w:noProof/>
              <w:sz w:val="18"/>
              <w:szCs w:val="18"/>
            </w:rPr>
            <w:t>1</w:t>
          </w:r>
          <w:r>
            <w:rPr>
              <w:rFonts w:ascii="Arial" w:hAnsi="Arial" w:cs="Arial"/>
              <w:sz w:val="18"/>
              <w:szCs w:val="18"/>
            </w:rPr>
            <w:fldChar w:fldCharType="end"/>
          </w:r>
          <w:r>
            <w:rPr>
              <w:rFonts w:ascii="Arial" w:hAnsi="Arial" w:cs="Arial"/>
              <w:sz w:val="18"/>
              <w:szCs w:val="18"/>
            </w:rPr>
            <w:t xml:space="preserve"> of </w:t>
          </w:r>
          <w:r w:rsidR="00725F31">
            <w:rPr>
              <w:rFonts w:ascii="Arial" w:hAnsi="Arial" w:cs="Arial"/>
              <w:sz w:val="18"/>
              <w:szCs w:val="18"/>
            </w:rPr>
            <w:t>2</w:t>
          </w:r>
        </w:p>
      </w:tc>
      <w:tc>
        <w:tcPr>
          <w:tcW w:w="2700" w:type="dxa"/>
          <w:vAlign w:val="center"/>
        </w:tcPr>
        <w:p w14:paraId="5DAA0F2C" w14:textId="77777777" w:rsidR="00721B5A" w:rsidRDefault="00721B5A">
          <w:pPr>
            <w:pStyle w:val="Header"/>
            <w:rPr>
              <w:rFonts w:ascii="Arial" w:hAnsi="Arial" w:cs="Arial"/>
              <w:b/>
              <w:bCs/>
              <w:sz w:val="18"/>
              <w:szCs w:val="18"/>
            </w:rPr>
          </w:pPr>
          <w:r>
            <w:rPr>
              <w:rFonts w:ascii="Arial" w:hAnsi="Arial" w:cs="Arial"/>
              <w:b/>
              <w:bCs/>
              <w:sz w:val="18"/>
              <w:szCs w:val="18"/>
            </w:rPr>
            <w:t>Last Reviewed/Update Date</w:t>
          </w:r>
        </w:p>
      </w:tc>
      <w:tc>
        <w:tcPr>
          <w:tcW w:w="1843" w:type="dxa"/>
          <w:vAlign w:val="center"/>
        </w:tcPr>
        <w:p w14:paraId="6014E9D8" w14:textId="77777777" w:rsidR="00721B5A" w:rsidRDefault="00721B5A">
          <w:pPr>
            <w:pStyle w:val="Header"/>
            <w:rPr>
              <w:rFonts w:ascii="Arial" w:hAnsi="Arial" w:cs="Arial"/>
              <w:sz w:val="18"/>
              <w:szCs w:val="18"/>
            </w:rPr>
          </w:pPr>
        </w:p>
      </w:tc>
    </w:tr>
    <w:tr w:rsidR="00721B5A" w14:paraId="43D61B33" w14:textId="77777777">
      <w:trPr>
        <w:trHeight w:val="360"/>
      </w:trPr>
      <w:tc>
        <w:tcPr>
          <w:tcW w:w="1620" w:type="dxa"/>
          <w:vAlign w:val="center"/>
        </w:tcPr>
        <w:p w14:paraId="6806B437" w14:textId="16F7BA58" w:rsidR="00884CD7" w:rsidRDefault="00884CD7">
          <w:pPr>
            <w:pStyle w:val="Header"/>
            <w:rPr>
              <w:rFonts w:ascii="Arial" w:hAnsi="Arial" w:cs="Arial"/>
              <w:b/>
              <w:bCs/>
              <w:sz w:val="18"/>
              <w:szCs w:val="18"/>
            </w:rPr>
          </w:pPr>
          <w:r>
            <w:rPr>
              <w:rFonts w:ascii="Arial" w:hAnsi="Arial" w:cs="Arial"/>
              <w:b/>
              <w:bCs/>
              <w:sz w:val="18"/>
              <w:szCs w:val="18"/>
            </w:rPr>
            <w:t>David Chism</w:t>
          </w:r>
        </w:p>
      </w:tc>
      <w:tc>
        <w:tcPr>
          <w:tcW w:w="3060" w:type="dxa"/>
          <w:vAlign w:val="center"/>
        </w:tcPr>
        <w:p w14:paraId="643C894E" w14:textId="77777777" w:rsidR="00721B5A" w:rsidRDefault="00721B5A">
          <w:pPr>
            <w:pStyle w:val="Header"/>
            <w:rPr>
              <w:rFonts w:ascii="Arial" w:hAnsi="Arial" w:cs="Arial"/>
              <w:sz w:val="18"/>
              <w:szCs w:val="18"/>
            </w:rPr>
          </w:pPr>
        </w:p>
      </w:tc>
      <w:tc>
        <w:tcPr>
          <w:tcW w:w="2700" w:type="dxa"/>
          <w:vAlign w:val="center"/>
        </w:tcPr>
        <w:p w14:paraId="016C61B0" w14:textId="77777777" w:rsidR="00721B5A" w:rsidRDefault="00721B5A">
          <w:pPr>
            <w:pStyle w:val="Header"/>
            <w:rPr>
              <w:rFonts w:ascii="Arial" w:hAnsi="Arial" w:cs="Arial"/>
              <w:b/>
              <w:bCs/>
              <w:sz w:val="18"/>
              <w:szCs w:val="18"/>
            </w:rPr>
          </w:pPr>
          <w:r>
            <w:rPr>
              <w:rFonts w:ascii="Arial" w:hAnsi="Arial" w:cs="Arial"/>
              <w:b/>
              <w:bCs/>
              <w:sz w:val="18"/>
              <w:szCs w:val="18"/>
            </w:rPr>
            <w:t>Approval</w:t>
          </w:r>
        </w:p>
      </w:tc>
      <w:tc>
        <w:tcPr>
          <w:tcW w:w="1843" w:type="dxa"/>
          <w:vAlign w:val="center"/>
        </w:tcPr>
        <w:p w14:paraId="35EC4314" w14:textId="77777777" w:rsidR="00721B5A" w:rsidRDefault="00721B5A">
          <w:pPr>
            <w:pStyle w:val="Header"/>
            <w:rPr>
              <w:rFonts w:ascii="Arial" w:hAnsi="Arial" w:cs="Arial"/>
              <w:sz w:val="18"/>
              <w:szCs w:val="18"/>
            </w:rPr>
          </w:pPr>
        </w:p>
      </w:tc>
    </w:tr>
  </w:tbl>
  <w:p w14:paraId="07DE5D08" w14:textId="77777777" w:rsidR="00721B5A" w:rsidRDefault="00721B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80D60"/>
    <w:multiLevelType w:val="hybridMultilevel"/>
    <w:tmpl w:val="115AF7B8"/>
    <w:lvl w:ilvl="0" w:tplc="553A0A14">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10D062B"/>
    <w:multiLevelType w:val="hybridMultilevel"/>
    <w:tmpl w:val="7CF64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53"/>
    <w:rsid w:val="00010A8E"/>
    <w:rsid w:val="00011B1D"/>
    <w:rsid w:val="00034B5E"/>
    <w:rsid w:val="000531F3"/>
    <w:rsid w:val="00093138"/>
    <w:rsid w:val="00094CFF"/>
    <w:rsid w:val="000D043A"/>
    <w:rsid w:val="00106D18"/>
    <w:rsid w:val="00117053"/>
    <w:rsid w:val="0014047E"/>
    <w:rsid w:val="001509ED"/>
    <w:rsid w:val="001860DD"/>
    <w:rsid w:val="001C42C1"/>
    <w:rsid w:val="001F4939"/>
    <w:rsid w:val="00200F2D"/>
    <w:rsid w:val="00235CEA"/>
    <w:rsid w:val="00250BFD"/>
    <w:rsid w:val="002B3F82"/>
    <w:rsid w:val="002E6591"/>
    <w:rsid w:val="00312C0A"/>
    <w:rsid w:val="0035346A"/>
    <w:rsid w:val="00361798"/>
    <w:rsid w:val="0039777A"/>
    <w:rsid w:val="003C1123"/>
    <w:rsid w:val="003C372E"/>
    <w:rsid w:val="003F3C32"/>
    <w:rsid w:val="00435876"/>
    <w:rsid w:val="00461D83"/>
    <w:rsid w:val="00480301"/>
    <w:rsid w:val="004D5154"/>
    <w:rsid w:val="004F1A90"/>
    <w:rsid w:val="0052279C"/>
    <w:rsid w:val="00534815"/>
    <w:rsid w:val="00557025"/>
    <w:rsid w:val="005726EA"/>
    <w:rsid w:val="005A1F59"/>
    <w:rsid w:val="005C1788"/>
    <w:rsid w:val="005D1511"/>
    <w:rsid w:val="006005F0"/>
    <w:rsid w:val="00665684"/>
    <w:rsid w:val="00696F06"/>
    <w:rsid w:val="006B6415"/>
    <w:rsid w:val="006C2A7A"/>
    <w:rsid w:val="006F33E0"/>
    <w:rsid w:val="006F3837"/>
    <w:rsid w:val="007008D5"/>
    <w:rsid w:val="00702BE2"/>
    <w:rsid w:val="00721B5A"/>
    <w:rsid w:val="00725F31"/>
    <w:rsid w:val="007333B8"/>
    <w:rsid w:val="00770988"/>
    <w:rsid w:val="00771AA1"/>
    <w:rsid w:val="007A2729"/>
    <w:rsid w:val="007E12A1"/>
    <w:rsid w:val="00812283"/>
    <w:rsid w:val="00820FF5"/>
    <w:rsid w:val="00867BEC"/>
    <w:rsid w:val="008847A7"/>
    <w:rsid w:val="00884CD7"/>
    <w:rsid w:val="008935FA"/>
    <w:rsid w:val="00895244"/>
    <w:rsid w:val="00896A23"/>
    <w:rsid w:val="008A0752"/>
    <w:rsid w:val="008A4BEE"/>
    <w:rsid w:val="008F3F7F"/>
    <w:rsid w:val="00967984"/>
    <w:rsid w:val="009E56C2"/>
    <w:rsid w:val="009E795F"/>
    <w:rsid w:val="00A06BC5"/>
    <w:rsid w:val="00A35CAE"/>
    <w:rsid w:val="00A43F71"/>
    <w:rsid w:val="00A750C8"/>
    <w:rsid w:val="00A756F1"/>
    <w:rsid w:val="00A77CF6"/>
    <w:rsid w:val="00A85570"/>
    <w:rsid w:val="00A96D10"/>
    <w:rsid w:val="00AB6DC4"/>
    <w:rsid w:val="00AE0DC5"/>
    <w:rsid w:val="00AE41E9"/>
    <w:rsid w:val="00B907A3"/>
    <w:rsid w:val="00BB707A"/>
    <w:rsid w:val="00BC6614"/>
    <w:rsid w:val="00BE21FB"/>
    <w:rsid w:val="00BF0BD4"/>
    <w:rsid w:val="00BF4708"/>
    <w:rsid w:val="00C30F45"/>
    <w:rsid w:val="00C318D5"/>
    <w:rsid w:val="00C367AC"/>
    <w:rsid w:val="00CD0863"/>
    <w:rsid w:val="00CD14E1"/>
    <w:rsid w:val="00CD192F"/>
    <w:rsid w:val="00CD1D2A"/>
    <w:rsid w:val="00CD5C78"/>
    <w:rsid w:val="00CE06AD"/>
    <w:rsid w:val="00CE46B0"/>
    <w:rsid w:val="00D032D9"/>
    <w:rsid w:val="00D130EC"/>
    <w:rsid w:val="00D14AD3"/>
    <w:rsid w:val="00D44EC0"/>
    <w:rsid w:val="00DB08F9"/>
    <w:rsid w:val="00DF46E5"/>
    <w:rsid w:val="00E049BA"/>
    <w:rsid w:val="00E5116B"/>
    <w:rsid w:val="00EC0CC8"/>
    <w:rsid w:val="00EC3085"/>
    <w:rsid w:val="00F05175"/>
    <w:rsid w:val="00F1140A"/>
    <w:rsid w:val="00F17546"/>
    <w:rsid w:val="00F5398B"/>
    <w:rsid w:val="00F57411"/>
    <w:rsid w:val="00F924B6"/>
    <w:rsid w:val="00F930A7"/>
    <w:rsid w:val="00FD0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C4771D"/>
  <w15:chartTrackingRefBased/>
  <w15:docId w15:val="{3CC79EAB-C248-4E6E-A8E3-4FA3F4CFC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6"/>
      <w:szCs w:val="32"/>
    </w:rPr>
  </w:style>
  <w:style w:type="paragraph" w:styleId="Heading2">
    <w:name w:val="heading 2"/>
    <w:basedOn w:val="Normal"/>
    <w:next w:val="Normal"/>
    <w:link w:val="Heading2Char"/>
    <w:qFormat/>
    <w:pPr>
      <w:keepNext/>
      <w:pBdr>
        <w:bottom w:val="single" w:sz="4" w:space="1" w:color="000080"/>
      </w:pBdr>
      <w:spacing w:before="120" w:after="12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2Char">
    <w:name w:val="Heading 2 Char"/>
    <w:link w:val="Heading2"/>
    <w:rPr>
      <w:rFonts w:ascii="Arial" w:hAnsi="Arial" w:cs="Arial"/>
      <w:b/>
      <w:bCs/>
      <w:i/>
      <w:iCs/>
      <w:sz w:val="28"/>
      <w:szCs w:val="28"/>
      <w:lang w:val="en-US" w:eastAsia="en-US" w:bidi="ar-SA"/>
    </w:rPr>
  </w:style>
  <w:style w:type="character" w:styleId="Hyperlink">
    <w:name w:val="Hyperlink"/>
    <w:basedOn w:val="DefaultParagraphFont"/>
    <w:rsid w:val="00CD1D2A"/>
    <w:rPr>
      <w:color w:val="0563C1" w:themeColor="hyperlink"/>
      <w:u w:val="single"/>
    </w:rPr>
  </w:style>
  <w:style w:type="character" w:styleId="UnresolvedMention">
    <w:name w:val="Unresolved Mention"/>
    <w:basedOn w:val="DefaultParagraphFont"/>
    <w:uiPriority w:val="99"/>
    <w:semiHidden/>
    <w:unhideWhenUsed/>
    <w:rsid w:val="00CD1D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40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Standard Operating Procedure</vt:lpstr>
    </vt:vector>
  </TitlesOfParts>
  <Company>user</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Operating Procedure</dc:title>
  <dc:subject/>
  <dc:creator>user</dc:creator>
  <cp:keywords/>
  <dc:description/>
  <cp:lastModifiedBy>Cranfill, Emily</cp:lastModifiedBy>
  <cp:revision>2</cp:revision>
  <dcterms:created xsi:type="dcterms:W3CDTF">2021-05-28T13:11:00Z</dcterms:created>
  <dcterms:modified xsi:type="dcterms:W3CDTF">2021-05-28T13:11:00Z</dcterms:modified>
</cp:coreProperties>
</file>